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148" w:type="pct"/>
        <w:tblInd w:w="-148" w:type="dxa"/>
        <w:tblLayout w:type="fixed"/>
        <w:tblCellMar>
          <w:top w:w="0" w:type="dxa"/>
          <w:left w:w="108" w:type="dxa"/>
          <w:bottom w:w="0" w:type="dxa"/>
          <w:right w:w="108" w:type="dxa"/>
        </w:tblCellMar>
      </w:tblPr>
      <w:tblGrid>
        <w:gridCol w:w="758"/>
        <w:gridCol w:w="1375"/>
        <w:gridCol w:w="1168"/>
        <w:gridCol w:w="668"/>
        <w:gridCol w:w="4799"/>
        <w:gridCol w:w="4799"/>
        <w:gridCol w:w="1027"/>
      </w:tblGrid>
      <w:tr>
        <w:tblPrEx>
          <w:tblCellMar>
            <w:top w:w="0" w:type="dxa"/>
            <w:left w:w="108" w:type="dxa"/>
            <w:bottom w:w="0" w:type="dxa"/>
            <w:right w:w="108" w:type="dxa"/>
          </w:tblCellMar>
        </w:tblPrEx>
        <w:trPr>
          <w:trHeight w:val="225" w:hRule="atLeast"/>
          <w:tblHeader/>
        </w:trPr>
        <w:tc>
          <w:tcPr>
            <w:tcW w:w="5000" w:type="pct"/>
            <w:gridSpan w:val="7"/>
            <w:tcBorders>
              <w:top w:val="nil"/>
              <w:left w:val="nil"/>
              <w:bottom w:val="nil"/>
              <w:right w:val="nil"/>
            </w:tcBorders>
            <w:noWrap/>
            <w:vAlign w:val="bottom"/>
          </w:tcPr>
          <w:p>
            <w:pPr>
              <w:widowControl/>
              <w:spacing w:line="600" w:lineRule="exact"/>
              <w:jc w:val="center"/>
              <w:rPr>
                <w:rFonts w:hint="eastAsia" w:ascii="等线" w:hAnsi="等线" w:eastAsia="等线" w:cs="等线"/>
                <w:color w:val="000000"/>
                <w:sz w:val="36"/>
                <w:szCs w:val="36"/>
              </w:rPr>
            </w:pPr>
            <w:r>
              <w:rPr>
                <w:rFonts w:hint="eastAsia" w:ascii="宋体" w:hAnsi="宋体" w:cs="宋体"/>
                <w:b/>
                <w:bCs/>
                <w:color w:val="000000"/>
                <w:kern w:val="0"/>
                <w:sz w:val="36"/>
                <w:szCs w:val="36"/>
                <w:lang w:bidi="ar"/>
              </w:rPr>
              <w:t>国家电投集团共享服务有限公司公开选聘岗位职责及任职条件</w:t>
            </w:r>
          </w:p>
        </w:tc>
      </w:tr>
      <w:tr>
        <w:tblPrEx>
          <w:tblCellMar>
            <w:top w:w="0" w:type="dxa"/>
            <w:left w:w="108" w:type="dxa"/>
            <w:bottom w:w="0" w:type="dxa"/>
            <w:right w:w="108" w:type="dxa"/>
          </w:tblCellMar>
        </w:tblPrEx>
        <w:trPr>
          <w:trHeight w:val="390" w:hRule="atLeast"/>
          <w:tblHeader/>
        </w:trPr>
        <w:tc>
          <w:tcPr>
            <w:tcW w:w="260"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471"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部门、中心</w:t>
            </w:r>
          </w:p>
        </w:tc>
        <w:tc>
          <w:tcPr>
            <w:tcW w:w="400"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岗位</w:t>
            </w:r>
          </w:p>
        </w:tc>
        <w:tc>
          <w:tcPr>
            <w:tcW w:w="229"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人数</w:t>
            </w:r>
          </w:p>
        </w:tc>
        <w:tc>
          <w:tcPr>
            <w:tcW w:w="1644"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主要职责</w:t>
            </w:r>
          </w:p>
        </w:tc>
        <w:tc>
          <w:tcPr>
            <w:tcW w:w="1644"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基本任职条件</w:t>
            </w:r>
          </w:p>
        </w:tc>
        <w:tc>
          <w:tcPr>
            <w:tcW w:w="349"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widowControl/>
              <w:spacing w:line="260" w:lineRule="exact"/>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选聘</w:t>
            </w:r>
          </w:p>
          <w:p>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范围</w:t>
            </w:r>
          </w:p>
        </w:tc>
      </w:tr>
      <w:tr>
        <w:tblPrEx>
          <w:tblCellMar>
            <w:top w:w="0" w:type="dxa"/>
            <w:left w:w="108" w:type="dxa"/>
            <w:bottom w:w="0" w:type="dxa"/>
            <w:right w:w="108" w:type="dxa"/>
          </w:tblCellMar>
        </w:tblPrEx>
        <w:trPr>
          <w:trHeight w:val="7462"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生产</w:t>
            </w:r>
            <w:r>
              <w:rPr>
                <w:rFonts w:hint="eastAsia" w:ascii="宋体" w:hAnsi="宋体" w:cs="宋体"/>
                <w:color w:val="000000"/>
                <w:kern w:val="0"/>
                <w:sz w:val="20"/>
                <w:szCs w:val="20"/>
                <w:lang w:val="en-US" w:eastAsia="zh-CN" w:bidi="ar"/>
              </w:rPr>
              <w:t>经</w:t>
            </w:r>
            <w:r>
              <w:rPr>
                <w:rFonts w:hint="eastAsia" w:ascii="宋体" w:hAnsi="宋体" w:cs="宋体"/>
                <w:color w:val="000000"/>
                <w:kern w:val="0"/>
                <w:sz w:val="20"/>
                <w:szCs w:val="20"/>
                <w:lang w:bidi="ar"/>
              </w:rPr>
              <w:t>营支持中心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副主任</w:t>
            </w:r>
          </w:p>
          <w:p>
            <w:pPr>
              <w:pStyle w:val="2"/>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（营销）</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1.组织研究国家电力市场政策、交易规则、运行机制与市场发展趋势，跟踪国家、地方绿电绿证市场及新能源补贴政策规则，提出集团公司市场应对思路和具体举措。</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2.组织研究国内外电力市场价格形成机制及影响因素，为政策争取提供理论支撑。</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3.组织协助跟踪各省电力市场动态，研究全国电力市场供需形势，分析不同市场特点，评估对集团影响，协助提出营销策略。</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4.组织配合电力营销管理体系建设及内控管理，协助制定相应管理制度和标准。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5.组织协助对接政府相关司局、行业协会、电网企业、交易中心、发电同行及其他市场主体，完成外部流程办理工作。</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1.全日制大学本科及以上学历，电气类、自动化类、能源动力类相关专业。</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2.副高级及以上职称。</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3.</w:t>
            </w:r>
            <w:r>
              <w:rPr>
                <w:rFonts w:hint="eastAsia" w:ascii="宋体" w:hAnsi="宋体" w:cs="宋体"/>
                <w:color w:val="000000"/>
                <w:kern w:val="0"/>
                <w:sz w:val="20"/>
                <w:szCs w:val="20"/>
                <w:highlight w:val="none"/>
                <w:lang w:val="en-US" w:eastAsia="zh-CN" w:bidi="ar"/>
              </w:rPr>
              <w:t>应</w:t>
            </w:r>
            <w:r>
              <w:rPr>
                <w:rFonts w:hint="eastAsia" w:ascii="宋体" w:hAnsi="宋体" w:cs="宋体"/>
                <w:color w:val="000000"/>
                <w:kern w:val="0"/>
                <w:sz w:val="20"/>
                <w:szCs w:val="20"/>
                <w:highlight w:val="none"/>
                <w:lang w:bidi="ar"/>
              </w:rPr>
              <w:t>现任国家机关、国有企事业单位正处级（或同等）职务。</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4.全日制大学本科毕业，</w:t>
            </w:r>
            <w:bookmarkStart w:id="0" w:name="_GoBack"/>
            <w:bookmarkEnd w:id="0"/>
            <w:r>
              <w:rPr>
                <w:rFonts w:hint="eastAsia" w:ascii="宋体" w:hAnsi="宋体" w:cs="宋体"/>
                <w:color w:val="000000"/>
                <w:kern w:val="0"/>
                <w:sz w:val="20"/>
                <w:szCs w:val="20"/>
                <w:highlight w:val="none"/>
                <w:lang w:bidi="ar"/>
              </w:rPr>
              <w:t>应具有10年以上电力行业工作经历，其中应包括5年以上电力行业政策研究、绿证管理、新能源补贴等工作经历；硕士研究生及以上学历毕业，应具有8年以上电力行业工作经历，其中应包括3年以上电力行业政策研究、绿证管理、新能源补贴等工作经历。有政府部门或电力研究机构相关工作经历的优先考虑。</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5.年龄不超过50周岁。</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highlight w:val="none"/>
                <w:lang w:bidi="ar"/>
              </w:rPr>
              <w:t>6.特别优秀者可适当放宽。</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0"/>
                <w:szCs w:val="20"/>
                <w:lang w:bidi="ar"/>
              </w:rPr>
            </w:pPr>
            <w:r>
              <w:rPr>
                <w:rFonts w:hint="eastAsia" w:asciiTheme="minorEastAsia" w:hAnsiTheme="minorEastAsia" w:eastAsiaTheme="minorEastAsia"/>
                <w:color w:val="000000"/>
                <w:sz w:val="20"/>
                <w:szCs w:val="20"/>
              </w:rPr>
              <w:t>系统外</w:t>
            </w:r>
          </w:p>
        </w:tc>
      </w:tr>
      <w:tr>
        <w:tblPrEx>
          <w:tblCellMar>
            <w:top w:w="0" w:type="dxa"/>
            <w:left w:w="108" w:type="dxa"/>
            <w:bottom w:w="0" w:type="dxa"/>
            <w:right w:w="108" w:type="dxa"/>
          </w:tblCellMar>
        </w:tblPrEx>
        <w:trPr>
          <w:trHeight w:val="7462"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质量控制与业务支持高级主管</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1.主导板块业务制度体系，质量管控、审查违规追责等专项制度细则，负责制度合规性审核与修订完善。</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2.牵头实施违规线索核查与违规损失认定，强化全流程管理，对项目人员配置、核查方案优化、底稿规范完善等提出专业意见，具体指导核查组解决现场问题。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3.指导违规线索受理甄别与台账精细化管理，为其他板块提供线索处置专业指导与技术支持。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4.牵头追责整改闭环管理，组织典型案例整理分析与业务培训素材编撰、风险防控指引制定。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1.全日制本科及以上学历,经济学类、审计学类、管理科学与工程类、工商管理类、能源动力类相关专业。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2.中共党员。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原则上应具有中级及以上职称。具有5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w:t>
            </w:r>
            <w:r>
              <w:rPr>
                <w:rFonts w:hint="eastAsia" w:ascii="宋体" w:hAnsi="宋体" w:cs="宋体"/>
                <w:color w:val="000000"/>
                <w:kern w:val="0"/>
                <w:sz w:val="20"/>
                <w:szCs w:val="20"/>
                <w:lang w:val="en-US" w:eastAsia="zh-CN" w:bidi="ar"/>
              </w:rPr>
              <w:t>应</w:t>
            </w:r>
            <w:r>
              <w:rPr>
                <w:rFonts w:hint="eastAsia" w:ascii="宋体" w:hAnsi="宋体" w:cs="宋体"/>
                <w:color w:val="000000"/>
                <w:kern w:val="0"/>
                <w:sz w:val="20"/>
                <w:szCs w:val="20"/>
                <w:lang w:bidi="ar"/>
              </w:rPr>
              <w:t>现任国家机关、国有企事业单位正处级（或同等）职务；其他企业无行政职级体系、特别优秀的，应满足以下条件：全日制大学本科毕业且工作满13年或全日制硕士研究生毕业且工作满11年或全日制博士研究生毕业且工作满8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5.应具有累计3年及以上国有大型企业审计或追责项目相关工作经历。具有违规经营损失责任追究、巡视巡察、纪检监察工作经历或担任过审计、违规经营损失责任追究项目负责人者可优先。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6.年龄不超过45周岁。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系统外</w:t>
            </w:r>
          </w:p>
        </w:tc>
      </w:tr>
      <w:tr>
        <w:tblPrEx>
          <w:tblCellMar>
            <w:top w:w="0" w:type="dxa"/>
            <w:left w:w="108" w:type="dxa"/>
            <w:bottom w:w="0" w:type="dxa"/>
            <w:right w:w="108" w:type="dxa"/>
          </w:tblCellMar>
        </w:tblPrEx>
        <w:trPr>
          <w:trHeight w:val="7094"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3</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质量控制与业务支持专责</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1.深度参与核查方案编制、审计底稿编制复核、核查报告撰写等工作，针对核查中发现的特殊问题，开展进一步核实与取证。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2.开展违规线索核查与违规损失认定，全程对接核查组现场工作，实时掌握核查进展，协调解决核查涉及的现场问题，定期向板块动态反馈核查动态及重大发现。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3.跟踪追责整改结果，建立台账并动态更新。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4.开展追责工作相关数据（涉及事项）统计分析，重点梳理典型违规典型案例，形成年度总结报告。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5.参与审计质量监督与改进工作，实施专项质量检查与评价；参与追责业务质量管控与考核自评价，开展质量控制培训与最佳实践推广。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1.全日制本科及以上学历,经济学类、审计学类、管理科学与工程类、工商管理类、能源动力类等相关专业</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2.中共党员</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应现任国家机关、国有企事业单位正科级（或同等）职务；其他企业无行政职级体系、特别优秀的，应同时满足以下条件：全日制大学本科毕业且工作满8年或全日制硕士研究生毕业且工作满6年或全日制博士研究生毕业且工作满4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5.应具有累计3年及以上国有大型企业审计或追责项目相关工作经历。具有违规经营损失责任追究、巡视巡察等项目经历者可优先考虑。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6.年龄不超过35周岁。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系统外</w:t>
            </w:r>
          </w:p>
        </w:tc>
      </w:tr>
      <w:tr>
        <w:tblPrEx>
          <w:tblCellMar>
            <w:top w:w="0" w:type="dxa"/>
            <w:left w:w="108" w:type="dxa"/>
            <w:bottom w:w="0" w:type="dxa"/>
            <w:right w:w="108" w:type="dxa"/>
          </w:tblCellMar>
        </w:tblPrEx>
        <w:trPr>
          <w:trHeight w:val="75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投资与专项审计专责</w:t>
            </w:r>
            <w:r>
              <w:rPr>
                <w:rFonts w:hint="eastAsia" w:ascii="宋体" w:hAnsi="宋体" w:cs="宋体"/>
                <w:color w:val="000000"/>
                <w:kern w:val="0"/>
                <w:sz w:val="20"/>
                <w:szCs w:val="20"/>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1.参与投资审计专项规划基础资料收集与整理，协助开展重大投资项目风险初步筛查与分析，为审计项目实施建议提供数据支撑，配合协调审计资源对接与跨部门基础沟通事宜。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2.协助板块业务制度体系建设，负责评价标准的资料调研与初稿撰写辅助工作，参与业务培训材料准备与培训组织协调，收集审计标准执行中的一线反馈并整理上报。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3.具体落实重大投资项目审计实施工作，协助制定项目实施计划，负责审计组日常工作协调，对底稿编制、证据收集等进行合规性检查，及时反馈现场实操问题并协助解决。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4.负责分管项目投资审计整改具体跟踪，建立详细整改台账并实时更新，收集整改证明材料，协助开展整改措施有效性初步核查，按要求汇总整改成效并形成书面反馈。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5.参与投资审计复核辅助工作，负责分管领域审计底稿、报告的基础性复核，记录质量问题并反馈，收集一线质量改进意见并整理上报，协助开展考核自评价资料准备。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6.协助投资审计技术研究相关工作，参与数字化审计工具场景化应用试点的基础数据整理与测试支持，负责典型案例与最佳实践的素材收集、整理及初步提炼，协助推广材料编印。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1.全日制本科及以上学历，经济学、管理科学与工程类、工商管理类、能源动力类、土木类相关专业。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3.应现任国家机关、国有企事业单位正科级（或同等）职务；其他企业无行政职级体系、特别优秀的，应同时满足以下条件：全日制大学本科毕业且工作满8年或全日制硕士研究生毕业且工作满6年或全日制博士</w:t>
            </w:r>
            <w:r>
              <w:rPr>
                <w:rFonts w:hint="eastAsia" w:ascii="宋体" w:hAnsi="宋体" w:cs="宋体"/>
                <w:color w:val="000000"/>
                <w:spacing w:val="-20"/>
                <w:kern w:val="0"/>
                <w:sz w:val="20"/>
                <w:szCs w:val="20"/>
                <w:lang w:bidi="ar"/>
              </w:rPr>
              <w:t>研究生毕业且工作满4年。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4.应具有累计3年及以上国有大型企业审计或投资项目相关工作经历。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5.年龄不超过35周岁。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系统外</w:t>
            </w:r>
          </w:p>
        </w:tc>
      </w:tr>
      <w:tr>
        <w:tblPrEx>
          <w:tblCellMar>
            <w:top w:w="0" w:type="dxa"/>
            <w:left w:w="108" w:type="dxa"/>
            <w:bottom w:w="0" w:type="dxa"/>
            <w:right w:w="108" w:type="dxa"/>
          </w:tblCellMar>
        </w:tblPrEx>
        <w:trPr>
          <w:trHeight w:val="6247"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5</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经济责任审计副处长</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1.协助板块业务的制度体系建设。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2.在板块处长授权下，协助组织落实承接的经济责任审计相关项目的组织、指导、监督，以及对外报告、工作协调和业务交流等工作。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3.负责协助编制年度经济责任审计项目计划建议。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4.负责落实承接的经济责任审计项目，对项目人员安排、审计方案审核、审计底稿复核、审计报告初稿等提出意见、建议，参与并具体指导审计组现场工作。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5.根据各审计组人员组成情况，负责协助集团公司组织调配审计资源，包括但不限于人员抽调、事务所联系与评价、各组人员调整等。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6.负责对审计组的审计底稿及审计报告进行工作质量控制和考核评价工作。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7.负责督促检查审计意见整改落实和审计成果运用，防控风险等工作。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8.负责组织并参与审计中心各项相关工作开展情况定期报告，组织审计组长、副组长（主审）进行审计项目底稿、报告、各类文档等工作成果整理并移交。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1.全日制本科及以上学历，经济学类、金融学类、管理科学与工程类、工商管理类、能源动力类相关专业。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4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w:t>
            </w:r>
            <w:r>
              <w:rPr>
                <w:rFonts w:hint="eastAsia" w:ascii="宋体" w:hAnsi="宋体" w:cs="宋体"/>
                <w:color w:val="000000"/>
                <w:kern w:val="0"/>
                <w:sz w:val="20"/>
                <w:szCs w:val="20"/>
                <w:lang w:val="en-US" w:eastAsia="zh-CN" w:bidi="ar"/>
              </w:rPr>
              <w:t>应</w:t>
            </w:r>
            <w:r>
              <w:rPr>
                <w:rFonts w:hint="eastAsia" w:ascii="宋体" w:hAnsi="宋体" w:cs="宋体"/>
                <w:color w:val="000000"/>
                <w:kern w:val="0"/>
                <w:sz w:val="20"/>
                <w:szCs w:val="20"/>
                <w:lang w:bidi="ar"/>
              </w:rPr>
              <w:t>现任国家机关、国有企事业单位副处级（或同等）职务；其他企业无行政职级体系、特别优秀的，应满足以下条件：全日制大学本科毕业且工作满11年或全日制硕士研究生毕业且工作满9年或全日制博士研究生毕业且工作满6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4.应具有累计3年及以上国有大型企业审计或财务项目相关工作经历。担任过审计项目负责人或主审者优先。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5.年龄不超过40周岁。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系统外</w:t>
            </w:r>
          </w:p>
        </w:tc>
      </w:tr>
      <w:tr>
        <w:tblPrEx>
          <w:tblCellMar>
            <w:top w:w="0" w:type="dxa"/>
            <w:left w:w="108" w:type="dxa"/>
            <w:bottom w:w="0" w:type="dxa"/>
            <w:right w:w="108" w:type="dxa"/>
          </w:tblCellMar>
        </w:tblPrEx>
        <w:trPr>
          <w:trHeight w:val="6505"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6</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经济责任审计高级主管</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1.协助编制年度经济责任审计项目计划建议、重大问题协调解决。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2.协助板块业务的制度体系建设。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3.负责实施板块承接的经济责任审计项目及跟踪督导审计整改结果，根据审计项目任务完成项目人员安排、审计方案制定、审计底稿复核、审计报告初稿编制等，具体指导审计组现场工作。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4.负责对审计项目进行审计底稿、报告、各类文档等工作成果整理并移交。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5.负责对审计项目人员进行工作质量管理和考核自评价工作。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6.协助组织并参与审计业务培训、工作调研、课题研究、标准（规范）制定、优秀审计项目（案例）撰写与推荐等工作。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7.负责在审计项目中实施新型审计技术和方法的应用，并进行经验反馈协助新型审计技术和方法的完善和推广。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1.全日制本科及以上学历，经济学类、金融学类、管理科学与工程类、工商管理类、能源动力类相关专业。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5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w:t>
            </w:r>
            <w:r>
              <w:rPr>
                <w:rFonts w:hint="eastAsia" w:ascii="宋体" w:hAnsi="宋体" w:cs="宋体"/>
                <w:color w:val="000000"/>
                <w:kern w:val="0"/>
                <w:sz w:val="20"/>
                <w:szCs w:val="20"/>
                <w:lang w:val="en-US" w:eastAsia="zh-CN" w:bidi="ar"/>
              </w:rPr>
              <w:t>应</w:t>
            </w:r>
            <w:r>
              <w:rPr>
                <w:rFonts w:hint="eastAsia" w:ascii="宋体" w:hAnsi="宋体" w:cs="宋体"/>
                <w:color w:val="000000"/>
                <w:kern w:val="0"/>
                <w:sz w:val="20"/>
                <w:szCs w:val="20"/>
                <w:lang w:bidi="ar"/>
              </w:rPr>
              <w:t>现任国家机关、国有企事业单位正处级（或同等）职务；其他企业无行政职级体系、特别优秀的，应满足以下条件：全日制大学本科毕业且工作满13年或全日制硕士研究生毕业且工作满11年或全日制博士研究生毕业且工作满8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4.应具有累计3年及以上国有大型企业审计或财务项目相关工作经历。担任过审计项目负责人或主审者优先。</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5.年龄不超过</w:t>
            </w:r>
            <w:r>
              <w:rPr>
                <w:rFonts w:hint="eastAsia" w:ascii="宋体" w:hAnsi="宋体" w:cs="宋体"/>
                <w:color w:val="000000"/>
                <w:kern w:val="0"/>
                <w:sz w:val="20"/>
                <w:szCs w:val="20"/>
                <w:lang w:val="en-US" w:eastAsia="zh-CN" w:bidi="ar"/>
              </w:rPr>
              <w:t>45</w:t>
            </w:r>
            <w:r>
              <w:rPr>
                <w:rFonts w:hint="eastAsia" w:ascii="宋体" w:hAnsi="宋体" w:cs="宋体"/>
                <w:color w:val="000000"/>
                <w:kern w:val="0"/>
                <w:sz w:val="20"/>
                <w:szCs w:val="20"/>
                <w:lang w:bidi="ar"/>
              </w:rPr>
              <w:t>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系统外</w:t>
            </w:r>
          </w:p>
        </w:tc>
      </w:tr>
      <w:tr>
        <w:tblPrEx>
          <w:tblCellMar>
            <w:top w:w="0" w:type="dxa"/>
            <w:left w:w="108" w:type="dxa"/>
            <w:bottom w:w="0" w:type="dxa"/>
            <w:right w:w="108" w:type="dxa"/>
          </w:tblCellMar>
        </w:tblPrEx>
        <w:trPr>
          <w:trHeight w:val="5883"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7</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经济责任审计专责</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1.根据板块安排或项目分工、参与承接的经济责任审计项目任务及跟踪督导审计整改结果。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2.协助参与审计方案编制、事务所人员管理、审计底稿编制等，参与审计组现场工作。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3.协助对审计项目进行审计底稿、报告、各类文档等工作成果整理并移交。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4.负责对审计项目人员进行工作质量管理和考核自评价工作。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5.协助在审计项目中实施新型审计技术和方法的应用。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1.全日制本科及以上学历，经济学类、金融学类、管理科学与工程类、工商管理类、能源动力类相关专业。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应现任国家机关、国有企事业单位正科级（或同等）职务；其他企业无行政职级体系、特别优秀的，应同时满足以下条件：全日制大学本科毕业且工作满8年或全日制硕士研究生毕业且工作满6年或全日制博士研究生毕业且工作满4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4.应具有累计3年及以上国有大型企业审计或财务项目相关工作经历。</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5.年龄不超过35周岁。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系统外</w:t>
            </w:r>
          </w:p>
        </w:tc>
      </w:tr>
      <w:tr>
        <w:tblPrEx>
          <w:tblCellMar>
            <w:top w:w="0" w:type="dxa"/>
            <w:left w:w="108" w:type="dxa"/>
            <w:bottom w:w="0" w:type="dxa"/>
            <w:right w:w="108" w:type="dxa"/>
          </w:tblCellMar>
        </w:tblPrEx>
        <w:trPr>
          <w:trHeight w:val="7735"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8</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金融与境外审计副处长（境外）</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1.协助编制板块审计业务（境外与金融）规划，具体负责境外审计分规划的细化编制与落地实施；参与梳理境外投资项目风险点，协助提出审计项目计划建议，协调解决跨境审计资源调配中的具体问题。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2.主导板块境外审计制度体系建设。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3.具体落实境外审计项目任务；跟踪督导审计整改，参与整改清单编制，对整改滞后单位提出督办建议。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4.协助强化审计全流程管理，对项目人员配置、审计方案、底稿及报告提出专业复核意见，协助指导审计组现场工作，重点解决跨境审计中的技术难题与实操问题。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5.协助制定板块内业务考核指标，参与考核自评价工作，推动审计质量提升。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6.协助开展金融与境外审计技术研究，牵头具体违规案例分析、跨境资金监控模型测试等工作，推动大数据、AI 等新技术在分管项目中的应用试点。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7.实施板块审计业务培训与标准制定；参与编撰境外优秀审计案例，推广可复制的实践经验。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1.全日制本科及以上学历，金融学类、经济学类、管理科学与工程类、工商管理类、能源动力类相关专业</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4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应现任国家机关、国有企事业单位副处级（或同等）职务；其他企业无行政职级体系、特别优秀的，应满足以下条件：全日制大学本科毕业且工作满11年或全日制硕士研究生毕业且工作满9年或全日制博士研究生毕业且工作满6年。</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4.应具有累计3年及以上国有大型企业审计或金融或财务管理项目相关工作经历。</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5.具备熟练的英文口语沟通能力，具有大学英语6级及以上的水平。</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6.年龄不超过40周岁。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系统外</w:t>
            </w:r>
          </w:p>
        </w:tc>
      </w:tr>
      <w:tr>
        <w:tblPrEx>
          <w:tblCellMar>
            <w:top w:w="0" w:type="dxa"/>
            <w:left w:w="108" w:type="dxa"/>
            <w:bottom w:w="0" w:type="dxa"/>
            <w:right w:w="108" w:type="dxa"/>
          </w:tblCellMar>
        </w:tblPrEx>
        <w:trPr>
          <w:trHeight w:val="696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9</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金融与境外审计专责（金融）</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1.主导金融审计业务实施；全程对接审计组现场工作，实时掌握金融审计进展，协调解决金融审计涉及的现场问题，定期向板块动态反馈审计动态及重大风险发现。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2.深度参与审计方案编制、审计底稿编制复核、审计报告撰写等工作，针对金融审计中发现的问题，开展核实与取证。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3.跟踪统计金融审计整改结果，建立台账并动态更新。按季度核查整改落实情况，对金融机构整改进度滞后、措施不到位的问题发出预警，推动形成闭环管理机制。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4.开展金融审计相关数据（问题）统计分析，形成年度总结报告；参与金融审计工作质量管理，协助开展项目质量复核及考核自评价，提出优化改进建议。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5.参与金融审计技术研究，重点梳理金融审计违规典型案例，提炼风险防控要点；探索大数据审计等新技术的场景化应用。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6.参与金融审计业务培训与标准制定；负责编撰金融优秀审计案例与实践经验，总结可复制的境外审计方法。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1.全日制本科及以上学历，金融学类、经济学类、管理科学与工程类、工商管理类、能源动力类相关专业</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3.应现任国家机关、国有企事业单位正科级（或同等）职务；其他企业无行政职级体系、特别优秀的，应同时满足以下条件：全日制大学本科毕业且工作满8年或全日制硕士研究生毕业</w:t>
            </w:r>
            <w:r>
              <w:rPr>
                <w:rFonts w:hint="eastAsia" w:ascii="宋体" w:hAnsi="宋体" w:cs="宋体"/>
                <w:color w:val="000000"/>
                <w:spacing w:val="-20"/>
                <w:kern w:val="0"/>
                <w:sz w:val="20"/>
                <w:szCs w:val="20"/>
                <w:lang w:bidi="ar"/>
              </w:rPr>
              <w:t>且工作满6年或全日制博士研究生毕业且工作满4年。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4.应具有累计3年及以上国有大型企业审计或金融或财务管理项目相关工作经历。 </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5.年龄不超过40周岁。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系统外</w:t>
            </w:r>
          </w:p>
        </w:tc>
      </w:tr>
      <w:tr>
        <w:tblPrEx>
          <w:tblCellMar>
            <w:top w:w="0" w:type="dxa"/>
            <w:left w:w="108" w:type="dxa"/>
            <w:bottom w:w="0" w:type="dxa"/>
            <w:right w:w="108" w:type="dxa"/>
          </w:tblCellMar>
        </w:tblPrEx>
        <w:trPr>
          <w:trHeight w:val="6951"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大数据审计专责</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1.负责数字化投资项目的审计及整改工作。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2.配合开展审计需求分析和模型开发，参与数智审计系统建设及维护及后续开发、应用与推广，协调技术团队解决系统问题。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3.协助各审计项目开展远程数据分析，数据建模等。根据业务需要，运用信息化手段进行大数据分析并形成成果文件。协助新型审计技术和方法的研究、开发、实施、完善和推广。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1.全日制本科及以上学历，计算机类、系统科学类、电子信息类、工商管理类、能源动力类相关专业。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应现任国家机关、国有企事业单位正科级（或同等）职务；其他企业无行政职级体系、特别优秀的，应同时满足以下条件：全日制大学本科毕业且工作满8年或全日制硕士研究生毕业且工作满6年或全日制博士研究生</w:t>
            </w:r>
            <w:r>
              <w:rPr>
                <w:rFonts w:hint="eastAsia" w:ascii="宋体" w:hAnsi="宋体" w:cs="宋体"/>
                <w:color w:val="000000"/>
                <w:spacing w:val="-20"/>
                <w:kern w:val="0"/>
                <w:sz w:val="20"/>
                <w:szCs w:val="20"/>
                <w:lang w:bidi="ar"/>
              </w:rPr>
              <w:t>毕业且工作满4年。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4.应具有累计3年及以上国有大型企业审计或大数据项目相关工作经历。具有信息化工作经验或具有良好的计算机语言水平、熟练应用PYTHON、R语言者优先。 </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5.年龄不超过35周岁。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系统外</w:t>
            </w:r>
          </w:p>
        </w:tc>
      </w:tr>
      <w:tr>
        <w:tblPrEx>
          <w:tblCellMar>
            <w:top w:w="0" w:type="dxa"/>
            <w:left w:w="108" w:type="dxa"/>
            <w:bottom w:w="0" w:type="dxa"/>
            <w:right w:w="108" w:type="dxa"/>
          </w:tblCellMar>
        </w:tblPrEx>
        <w:trPr>
          <w:trHeight w:val="7335"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11</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新闻中心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资深编辑</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r>
              <w:rPr>
                <w:rFonts w:hint="eastAsia" w:ascii="宋体" w:hAnsi="宋体" w:cs="宋体"/>
                <w:color w:val="000000"/>
                <w:kern w:val="0"/>
                <w:sz w:val="20"/>
                <w:szCs w:val="20"/>
                <w:lang w:bidi="ar"/>
              </w:rPr>
              <w:t>负责组织集团整体宣传计划在报刊媒体的落地。</w:t>
            </w:r>
          </w:p>
          <w:p>
            <w:pPr>
              <w:widowControl/>
              <w:numPr>
                <w:ilvl w:val="0"/>
                <w:numId w:val="0"/>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2.负责制定报刊媒体年度工作规划方案，并组织实施。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3.负责《国家电投报》选题策划、实施、审校、编印、发行及存档。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4.负责起草重大新闻稿件及重要评论员文章。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5.负责板块编辑队伍和系统通讯员队伍建设。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6.负责与编印、发行等外部相关方的对接和管理。</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7.负责总部日常新闻报道、部门日常文案撰写等工作。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1.全日制大学本科及以上学历，新闻传播学</w:t>
            </w:r>
            <w:r>
              <w:rPr>
                <w:rFonts w:hint="eastAsia" w:ascii="宋体" w:hAnsi="宋体" w:cs="宋体"/>
                <w:color w:val="000000"/>
                <w:kern w:val="0"/>
                <w:sz w:val="20"/>
                <w:szCs w:val="20"/>
                <w:lang w:val="en-US" w:eastAsia="zh-CN" w:bidi="ar"/>
              </w:rPr>
              <w:t>类</w:t>
            </w:r>
            <w:r>
              <w:rPr>
                <w:rFonts w:hint="eastAsia" w:ascii="宋体" w:hAnsi="宋体" w:cs="宋体"/>
                <w:color w:val="000000"/>
                <w:kern w:val="0"/>
                <w:sz w:val="20"/>
                <w:szCs w:val="20"/>
                <w:lang w:bidi="ar"/>
              </w:rPr>
              <w:t>、汉语言文学</w:t>
            </w:r>
            <w:r>
              <w:rPr>
                <w:rFonts w:hint="eastAsia" w:ascii="宋体" w:hAnsi="宋体" w:cs="宋体"/>
                <w:color w:val="000000"/>
                <w:kern w:val="0"/>
                <w:sz w:val="20"/>
                <w:szCs w:val="20"/>
                <w:lang w:val="en-US" w:eastAsia="zh-CN" w:bidi="ar"/>
              </w:rPr>
              <w:t>类</w:t>
            </w:r>
            <w:r>
              <w:rPr>
                <w:rFonts w:hint="eastAsia" w:ascii="宋体" w:hAnsi="宋体" w:cs="宋体"/>
                <w:color w:val="000000"/>
                <w:kern w:val="0"/>
                <w:sz w:val="20"/>
                <w:szCs w:val="20"/>
                <w:lang w:bidi="ar"/>
              </w:rPr>
              <w:t>、经济学</w:t>
            </w:r>
            <w:r>
              <w:rPr>
                <w:rFonts w:hint="eastAsia" w:ascii="宋体" w:hAnsi="宋体" w:cs="宋体"/>
                <w:color w:val="000000"/>
                <w:kern w:val="0"/>
                <w:sz w:val="20"/>
                <w:szCs w:val="20"/>
                <w:lang w:val="en-US" w:eastAsia="zh-CN" w:bidi="ar"/>
              </w:rPr>
              <w:t>类</w:t>
            </w:r>
            <w:r>
              <w:rPr>
                <w:rFonts w:hint="eastAsia" w:ascii="宋体" w:hAnsi="宋体" w:cs="宋体"/>
                <w:color w:val="000000"/>
                <w:kern w:val="0"/>
                <w:sz w:val="20"/>
                <w:szCs w:val="20"/>
                <w:lang w:bidi="ar"/>
              </w:rPr>
              <w:t>、能源动力类相关专业。</w:t>
            </w:r>
          </w:p>
          <w:p>
            <w:pPr>
              <w:widowControl/>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bidi="ar"/>
              </w:rPr>
              <w:t>2.中共</w:t>
            </w:r>
            <w:r>
              <w:rPr>
                <w:rFonts w:hint="eastAsia" w:ascii="宋体" w:hAnsi="宋体" w:cs="宋体"/>
                <w:color w:val="000000"/>
                <w:kern w:val="0"/>
                <w:sz w:val="20"/>
                <w:szCs w:val="20"/>
                <w:lang w:val="en-US" w:eastAsia="zh-CN" w:bidi="ar"/>
              </w:rPr>
              <w:t>党</w:t>
            </w:r>
            <w:r>
              <w:rPr>
                <w:rFonts w:hint="eastAsia" w:ascii="宋体" w:hAnsi="宋体" w:cs="宋体"/>
                <w:color w:val="000000"/>
                <w:kern w:val="0"/>
                <w:sz w:val="20"/>
                <w:szCs w:val="20"/>
                <w:lang w:bidi="ar"/>
              </w:rPr>
              <w:t>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w:t>
            </w:r>
            <w:r>
              <w:rPr>
                <w:rFonts w:hint="eastAsia" w:ascii="宋体" w:hAnsi="宋体" w:cs="宋体"/>
                <w:color w:val="000000"/>
                <w:kern w:val="0"/>
                <w:sz w:val="20"/>
                <w:szCs w:val="20"/>
                <w:lang w:val="en-US" w:eastAsia="zh-CN" w:bidi="ar"/>
              </w:rPr>
              <w:t>应</w:t>
            </w:r>
            <w:r>
              <w:rPr>
                <w:rFonts w:hint="eastAsia" w:ascii="宋体" w:hAnsi="宋体" w:cs="宋体"/>
                <w:color w:val="000000"/>
                <w:kern w:val="0"/>
                <w:sz w:val="20"/>
                <w:szCs w:val="20"/>
                <w:lang w:bidi="ar"/>
              </w:rPr>
              <w:t>现任国家机关、国有企事业单位正处级（或同等）职务。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4.原则上应具有中级及以上职称。具有5年及以上新闻宣传领域权威部门（如政府宣传部门等）宣传岗位从业经历，且表现优秀的可适当放宽。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5.具有5年以上新闻宣传及相关工作经验</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或在社会主流媒体拥有资深工作经历。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6.了解国家新闻出版相关法律法规，熟悉出版编辑规则;具有扎实的文字功底，具有较强的责任心、敬业精神和团队协作精神，具有良好的沟通能力和抗压能力。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7.年龄不超过45周岁</w:t>
            </w:r>
            <w:r>
              <w:rPr>
                <w:rFonts w:hint="eastAsia" w:ascii="宋体" w:hAnsi="宋体" w:cs="宋体"/>
                <w:color w:val="000000"/>
                <w:kern w:val="0"/>
                <w:sz w:val="20"/>
                <w:szCs w:val="20"/>
                <w:lang w:eastAsia="zh-CN" w:bidi="ar"/>
              </w:rPr>
              <w:t>。</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w:t>
            </w:r>
            <w:r>
              <w:rPr>
                <w:rFonts w:hint="eastAsia" w:ascii="宋体" w:hAnsi="宋体" w:cs="宋体"/>
                <w:color w:val="000000"/>
                <w:kern w:val="0"/>
                <w:sz w:val="20"/>
                <w:szCs w:val="20"/>
                <w:lang w:bidi="ar"/>
              </w:rPr>
              <w:t>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0"/>
                <w:szCs w:val="20"/>
                <w:lang w:bidi="ar"/>
              </w:rPr>
            </w:pPr>
            <w:r>
              <w:rPr>
                <w:rFonts w:hint="eastAsia" w:asciiTheme="minorEastAsia" w:hAnsiTheme="minorEastAsia" w:eastAsiaTheme="minorEastAsia"/>
                <w:color w:val="000000"/>
                <w:sz w:val="20"/>
                <w:szCs w:val="20"/>
              </w:rPr>
              <w:t>系统外</w:t>
            </w:r>
          </w:p>
        </w:tc>
      </w:tr>
      <w:tr>
        <w:tblPrEx>
          <w:tblCellMar>
            <w:top w:w="0" w:type="dxa"/>
            <w:left w:w="108" w:type="dxa"/>
            <w:bottom w:w="0" w:type="dxa"/>
            <w:right w:w="108" w:type="dxa"/>
          </w:tblCellMar>
        </w:tblPrEx>
        <w:trPr>
          <w:trHeight w:val="7335"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12</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法律审查副处长</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1.协助健全完善规章制度、经济合同、重要决策法律审核机制和制度，跟进采纳情况、完善后评估机制。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2.委派参加集团公司投资、融资、改革重组、国际业务等重大经营决策事项的法律审查，提出法律合规及风险评估审查意见，出具法律意见书。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3.委派参加集团公司其他经营决策事项的法律审查，并提供法律合规审查意见。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4.协助对集团公司已决策的重大事项法律风险应对措施落实情况开展“回头看”，通过评价、督导，推动相关法律风险应对措施切实推进。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5.协助对集团总部制度的合法性审查。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6.协助对委托的各类合同法律审查，并跟踪法律审查意见的落实。</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7.参加重大项目的合同谈判。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8.参与集团公司各类专项工作，提供法律支持。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9.为总部和各二级单位提供法律咨询服务。</w:t>
            </w:r>
          </w:p>
        </w:tc>
        <w:tc>
          <w:tcPr>
            <w:tcW w:w="4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highlight w:val="none"/>
                <w:lang w:bidi="ar"/>
              </w:rPr>
              <w:t>本科为全日制毕业；</w:t>
            </w:r>
            <w:r>
              <w:rPr>
                <w:rFonts w:hint="eastAsia" w:ascii="宋体" w:hAnsi="宋体" w:cs="宋体"/>
                <w:color w:val="000000"/>
                <w:kern w:val="0"/>
                <w:sz w:val="20"/>
                <w:szCs w:val="20"/>
                <w:highlight w:val="none"/>
                <w:lang w:val="en-US" w:eastAsia="zh-CN" w:bidi="ar"/>
              </w:rPr>
              <w:t>法律类</w:t>
            </w:r>
            <w:r>
              <w:rPr>
                <w:rFonts w:hint="eastAsia" w:ascii="宋体" w:hAnsi="宋体" w:cs="宋体"/>
                <w:color w:val="000000"/>
                <w:kern w:val="0"/>
                <w:sz w:val="20"/>
                <w:szCs w:val="20"/>
                <w:highlight w:val="none"/>
                <w:lang w:bidi="ar"/>
              </w:rPr>
              <w:t>硕士研究生及以上学历。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持</w:t>
            </w:r>
            <w:r>
              <w:rPr>
                <w:rFonts w:hint="eastAsia" w:ascii="宋体" w:hAnsi="宋体" w:cs="宋体"/>
                <w:color w:val="000000"/>
                <w:kern w:val="0"/>
                <w:sz w:val="20"/>
                <w:szCs w:val="20"/>
                <w:highlight w:val="none"/>
                <w:lang w:bidi="ar"/>
              </w:rPr>
              <w:t>有中国法律职业资格证</w:t>
            </w:r>
            <w:r>
              <w:rPr>
                <w:rFonts w:hint="eastAsia" w:ascii="宋体" w:hAnsi="宋体" w:cs="宋体"/>
                <w:color w:val="000000"/>
                <w:kern w:val="0"/>
                <w:sz w:val="20"/>
                <w:szCs w:val="20"/>
                <w:highlight w:val="none"/>
                <w:lang w:eastAsia="zh-CN" w:bidi="ar"/>
              </w:rPr>
              <w:t>。</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3.硕士研究生毕业，需要具备9年以上法律工作经历；博士研究生毕业，需要具备6年以上法律工作经历。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4.应</w:t>
            </w:r>
            <w:r>
              <w:rPr>
                <w:rFonts w:hint="eastAsia" w:ascii="宋体" w:hAnsi="宋体" w:cs="宋体"/>
                <w:color w:val="000000"/>
                <w:kern w:val="0"/>
                <w:sz w:val="20"/>
                <w:szCs w:val="20"/>
                <w:lang w:bidi="ar"/>
              </w:rPr>
              <w:t>现任国家机关、国有企事业单位副处级（或同等）职务，或类似规模大型企业法律事务部门负责人；或具有国内知名律事务所合伙人2年及以上工作经历。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5.具备独立或参与重大项目法律的工作经验和能力，具备10个以上能源或相关领域项目或案件类经验。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6.年龄不超过45周岁。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系统外</w:t>
            </w:r>
          </w:p>
        </w:tc>
      </w:tr>
    </w:tbl>
    <w:p>
      <w:pPr>
        <w:pStyle w:val="8"/>
        <w:spacing w:line="20" w:lineRule="exact"/>
      </w:pPr>
    </w:p>
    <w:sectPr>
      <w:footerReference r:id="rId3" w:type="default"/>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TAxYTFlM2FiOTE5NDFiZTc2YzYzMGI2ZDczZGYifQ=="/>
  </w:docVars>
  <w:rsids>
    <w:rsidRoot w:val="00685B2C"/>
    <w:rsid w:val="00004153"/>
    <w:rsid w:val="000159F2"/>
    <w:rsid w:val="00023C64"/>
    <w:rsid w:val="00026620"/>
    <w:rsid w:val="00044C88"/>
    <w:rsid w:val="00065E59"/>
    <w:rsid w:val="000A525C"/>
    <w:rsid w:val="000B1A7C"/>
    <w:rsid w:val="000B2BF6"/>
    <w:rsid w:val="000C75A1"/>
    <w:rsid w:val="000C7799"/>
    <w:rsid w:val="000C7DEC"/>
    <w:rsid w:val="000D259E"/>
    <w:rsid w:val="000F2841"/>
    <w:rsid w:val="0010738E"/>
    <w:rsid w:val="00115E6B"/>
    <w:rsid w:val="00117369"/>
    <w:rsid w:val="00120484"/>
    <w:rsid w:val="0012121A"/>
    <w:rsid w:val="00121632"/>
    <w:rsid w:val="001232B6"/>
    <w:rsid w:val="0012658E"/>
    <w:rsid w:val="00142579"/>
    <w:rsid w:val="001431EA"/>
    <w:rsid w:val="00147611"/>
    <w:rsid w:val="00147EAC"/>
    <w:rsid w:val="00150A65"/>
    <w:rsid w:val="001633F4"/>
    <w:rsid w:val="001635F4"/>
    <w:rsid w:val="0016740D"/>
    <w:rsid w:val="00171932"/>
    <w:rsid w:val="001738E5"/>
    <w:rsid w:val="00185C29"/>
    <w:rsid w:val="001917C5"/>
    <w:rsid w:val="001A6620"/>
    <w:rsid w:val="001B4D4E"/>
    <w:rsid w:val="001C189C"/>
    <w:rsid w:val="001D5B48"/>
    <w:rsid w:val="001E5131"/>
    <w:rsid w:val="001E642C"/>
    <w:rsid w:val="002038FC"/>
    <w:rsid w:val="00204F2C"/>
    <w:rsid w:val="00211E57"/>
    <w:rsid w:val="00215545"/>
    <w:rsid w:val="002370A0"/>
    <w:rsid w:val="00247EF4"/>
    <w:rsid w:val="00251728"/>
    <w:rsid w:val="002521E5"/>
    <w:rsid w:val="00266864"/>
    <w:rsid w:val="00286543"/>
    <w:rsid w:val="00287565"/>
    <w:rsid w:val="002A49E4"/>
    <w:rsid w:val="002B163E"/>
    <w:rsid w:val="002B6A5B"/>
    <w:rsid w:val="002C2ABF"/>
    <w:rsid w:val="002C4D28"/>
    <w:rsid w:val="002D1534"/>
    <w:rsid w:val="002F2CD4"/>
    <w:rsid w:val="002F52E1"/>
    <w:rsid w:val="0030062D"/>
    <w:rsid w:val="00311286"/>
    <w:rsid w:val="00314729"/>
    <w:rsid w:val="00320B1C"/>
    <w:rsid w:val="00321A1C"/>
    <w:rsid w:val="00336627"/>
    <w:rsid w:val="00337AEC"/>
    <w:rsid w:val="003654E8"/>
    <w:rsid w:val="003658DE"/>
    <w:rsid w:val="00366BD2"/>
    <w:rsid w:val="00367384"/>
    <w:rsid w:val="00387C13"/>
    <w:rsid w:val="003A71B9"/>
    <w:rsid w:val="003B40E9"/>
    <w:rsid w:val="003B4A89"/>
    <w:rsid w:val="003C7BE4"/>
    <w:rsid w:val="003D33F4"/>
    <w:rsid w:val="003D77F8"/>
    <w:rsid w:val="003F0C3B"/>
    <w:rsid w:val="003F1EF4"/>
    <w:rsid w:val="00400861"/>
    <w:rsid w:val="004052D6"/>
    <w:rsid w:val="00413FAF"/>
    <w:rsid w:val="00423AB0"/>
    <w:rsid w:val="0042771E"/>
    <w:rsid w:val="00427DB2"/>
    <w:rsid w:val="0044168D"/>
    <w:rsid w:val="00442778"/>
    <w:rsid w:val="004570D8"/>
    <w:rsid w:val="004621CD"/>
    <w:rsid w:val="00483A30"/>
    <w:rsid w:val="00494981"/>
    <w:rsid w:val="004E1DA6"/>
    <w:rsid w:val="00502713"/>
    <w:rsid w:val="00512531"/>
    <w:rsid w:val="00544536"/>
    <w:rsid w:val="00546FCB"/>
    <w:rsid w:val="00572C4E"/>
    <w:rsid w:val="005860EA"/>
    <w:rsid w:val="0058621D"/>
    <w:rsid w:val="00590820"/>
    <w:rsid w:val="005B787D"/>
    <w:rsid w:val="005C171B"/>
    <w:rsid w:val="005D48B4"/>
    <w:rsid w:val="00605368"/>
    <w:rsid w:val="00624FB7"/>
    <w:rsid w:val="00625C9D"/>
    <w:rsid w:val="0064187C"/>
    <w:rsid w:val="00655675"/>
    <w:rsid w:val="00662018"/>
    <w:rsid w:val="00685B2C"/>
    <w:rsid w:val="00686345"/>
    <w:rsid w:val="006945AA"/>
    <w:rsid w:val="00697348"/>
    <w:rsid w:val="006D3C9F"/>
    <w:rsid w:val="006D4BD9"/>
    <w:rsid w:val="006F3CB7"/>
    <w:rsid w:val="006F47F5"/>
    <w:rsid w:val="00707192"/>
    <w:rsid w:val="00730AE1"/>
    <w:rsid w:val="0074074A"/>
    <w:rsid w:val="0075107F"/>
    <w:rsid w:val="00756F74"/>
    <w:rsid w:val="00761578"/>
    <w:rsid w:val="00764942"/>
    <w:rsid w:val="0077340A"/>
    <w:rsid w:val="00781AD5"/>
    <w:rsid w:val="0079218E"/>
    <w:rsid w:val="00797948"/>
    <w:rsid w:val="007A7685"/>
    <w:rsid w:val="007B26CB"/>
    <w:rsid w:val="007D280F"/>
    <w:rsid w:val="007D4015"/>
    <w:rsid w:val="007E7D2C"/>
    <w:rsid w:val="007F1A6B"/>
    <w:rsid w:val="007F3BB5"/>
    <w:rsid w:val="00803FD9"/>
    <w:rsid w:val="00806036"/>
    <w:rsid w:val="0081125A"/>
    <w:rsid w:val="00813E17"/>
    <w:rsid w:val="008360AF"/>
    <w:rsid w:val="00842D55"/>
    <w:rsid w:val="00844528"/>
    <w:rsid w:val="008542AB"/>
    <w:rsid w:val="00857AF1"/>
    <w:rsid w:val="0086063A"/>
    <w:rsid w:val="008629E5"/>
    <w:rsid w:val="00864960"/>
    <w:rsid w:val="008655A6"/>
    <w:rsid w:val="00865C21"/>
    <w:rsid w:val="008A7285"/>
    <w:rsid w:val="008B6E57"/>
    <w:rsid w:val="008B6FCF"/>
    <w:rsid w:val="008C466A"/>
    <w:rsid w:val="008D066F"/>
    <w:rsid w:val="008F2065"/>
    <w:rsid w:val="008F37DB"/>
    <w:rsid w:val="00900F1E"/>
    <w:rsid w:val="009118D0"/>
    <w:rsid w:val="009224C2"/>
    <w:rsid w:val="009442C4"/>
    <w:rsid w:val="00952117"/>
    <w:rsid w:val="00952E9D"/>
    <w:rsid w:val="00967BA5"/>
    <w:rsid w:val="0099351A"/>
    <w:rsid w:val="00994948"/>
    <w:rsid w:val="00995CC6"/>
    <w:rsid w:val="009A2444"/>
    <w:rsid w:val="009B1AB5"/>
    <w:rsid w:val="009B5683"/>
    <w:rsid w:val="009D1466"/>
    <w:rsid w:val="00A00D5D"/>
    <w:rsid w:val="00A04A2F"/>
    <w:rsid w:val="00A04BD8"/>
    <w:rsid w:val="00A07063"/>
    <w:rsid w:val="00A146D9"/>
    <w:rsid w:val="00A155A2"/>
    <w:rsid w:val="00A3706B"/>
    <w:rsid w:val="00A5083A"/>
    <w:rsid w:val="00A50D4A"/>
    <w:rsid w:val="00A5136B"/>
    <w:rsid w:val="00A56AF8"/>
    <w:rsid w:val="00A63AAF"/>
    <w:rsid w:val="00A6441D"/>
    <w:rsid w:val="00A71C70"/>
    <w:rsid w:val="00A81585"/>
    <w:rsid w:val="00A972FE"/>
    <w:rsid w:val="00AB5EA0"/>
    <w:rsid w:val="00AB5EBD"/>
    <w:rsid w:val="00AD722F"/>
    <w:rsid w:val="00AE1E0D"/>
    <w:rsid w:val="00AE6DBE"/>
    <w:rsid w:val="00B05327"/>
    <w:rsid w:val="00B0651C"/>
    <w:rsid w:val="00B153E3"/>
    <w:rsid w:val="00B249B3"/>
    <w:rsid w:val="00B3776D"/>
    <w:rsid w:val="00B4383A"/>
    <w:rsid w:val="00B531D2"/>
    <w:rsid w:val="00B646FD"/>
    <w:rsid w:val="00B65CDA"/>
    <w:rsid w:val="00B706D0"/>
    <w:rsid w:val="00B70DA5"/>
    <w:rsid w:val="00B718A9"/>
    <w:rsid w:val="00B75149"/>
    <w:rsid w:val="00B9124F"/>
    <w:rsid w:val="00B9562D"/>
    <w:rsid w:val="00BA2280"/>
    <w:rsid w:val="00BB6E65"/>
    <w:rsid w:val="00BC25EF"/>
    <w:rsid w:val="00BC3DD3"/>
    <w:rsid w:val="00BE1351"/>
    <w:rsid w:val="00BE2970"/>
    <w:rsid w:val="00BE333A"/>
    <w:rsid w:val="00BE3AD1"/>
    <w:rsid w:val="00BE501B"/>
    <w:rsid w:val="00BF71D8"/>
    <w:rsid w:val="00C01DF4"/>
    <w:rsid w:val="00C15146"/>
    <w:rsid w:val="00C46087"/>
    <w:rsid w:val="00C53B14"/>
    <w:rsid w:val="00C56FF6"/>
    <w:rsid w:val="00C609FF"/>
    <w:rsid w:val="00C66ACA"/>
    <w:rsid w:val="00C73B2C"/>
    <w:rsid w:val="00C773F2"/>
    <w:rsid w:val="00C87BBE"/>
    <w:rsid w:val="00CA0910"/>
    <w:rsid w:val="00CA7DC5"/>
    <w:rsid w:val="00CC00FF"/>
    <w:rsid w:val="00CC2380"/>
    <w:rsid w:val="00CC6B4C"/>
    <w:rsid w:val="00CD4C8A"/>
    <w:rsid w:val="00CD583E"/>
    <w:rsid w:val="00CD658B"/>
    <w:rsid w:val="00CD6E5A"/>
    <w:rsid w:val="00CE2191"/>
    <w:rsid w:val="00CE2509"/>
    <w:rsid w:val="00D06108"/>
    <w:rsid w:val="00D11B81"/>
    <w:rsid w:val="00D14DAF"/>
    <w:rsid w:val="00D174D4"/>
    <w:rsid w:val="00D30393"/>
    <w:rsid w:val="00D37538"/>
    <w:rsid w:val="00D443AA"/>
    <w:rsid w:val="00D467CF"/>
    <w:rsid w:val="00D47EA4"/>
    <w:rsid w:val="00D5761C"/>
    <w:rsid w:val="00DA05CD"/>
    <w:rsid w:val="00DA0ABB"/>
    <w:rsid w:val="00DA7619"/>
    <w:rsid w:val="00DA7B6E"/>
    <w:rsid w:val="00DB1E90"/>
    <w:rsid w:val="00DB46EF"/>
    <w:rsid w:val="00DB6190"/>
    <w:rsid w:val="00DE45F9"/>
    <w:rsid w:val="00DE720F"/>
    <w:rsid w:val="00DF07C7"/>
    <w:rsid w:val="00DF28AC"/>
    <w:rsid w:val="00E013BA"/>
    <w:rsid w:val="00E01A4D"/>
    <w:rsid w:val="00E16031"/>
    <w:rsid w:val="00E377AE"/>
    <w:rsid w:val="00E44915"/>
    <w:rsid w:val="00E7523D"/>
    <w:rsid w:val="00E769CC"/>
    <w:rsid w:val="00EA60D2"/>
    <w:rsid w:val="00EA6666"/>
    <w:rsid w:val="00EB36A3"/>
    <w:rsid w:val="00EB5E95"/>
    <w:rsid w:val="00EB63A5"/>
    <w:rsid w:val="00EB7EAB"/>
    <w:rsid w:val="00EC0118"/>
    <w:rsid w:val="00EC3FAE"/>
    <w:rsid w:val="00EE327F"/>
    <w:rsid w:val="00EE7C68"/>
    <w:rsid w:val="00EF4B9B"/>
    <w:rsid w:val="00EF643E"/>
    <w:rsid w:val="00F0592B"/>
    <w:rsid w:val="00F1221A"/>
    <w:rsid w:val="00F16646"/>
    <w:rsid w:val="00F37B0E"/>
    <w:rsid w:val="00F43D79"/>
    <w:rsid w:val="00F62267"/>
    <w:rsid w:val="00F75627"/>
    <w:rsid w:val="00F83E7A"/>
    <w:rsid w:val="00F851BE"/>
    <w:rsid w:val="00F96B17"/>
    <w:rsid w:val="00FC154E"/>
    <w:rsid w:val="00FC5F32"/>
    <w:rsid w:val="00FC6F7B"/>
    <w:rsid w:val="00FC7017"/>
    <w:rsid w:val="00FC7F9E"/>
    <w:rsid w:val="00FD3727"/>
    <w:rsid w:val="00FD56DA"/>
    <w:rsid w:val="00FF49E2"/>
    <w:rsid w:val="016B2991"/>
    <w:rsid w:val="01C216C8"/>
    <w:rsid w:val="01DA571A"/>
    <w:rsid w:val="02381998"/>
    <w:rsid w:val="02DD029C"/>
    <w:rsid w:val="03975670"/>
    <w:rsid w:val="051D4CFB"/>
    <w:rsid w:val="062702A8"/>
    <w:rsid w:val="065770C9"/>
    <w:rsid w:val="06B369DB"/>
    <w:rsid w:val="06DD6751"/>
    <w:rsid w:val="06E728E4"/>
    <w:rsid w:val="070F0752"/>
    <w:rsid w:val="07657DD4"/>
    <w:rsid w:val="076653B1"/>
    <w:rsid w:val="07CF4DE0"/>
    <w:rsid w:val="07D943B9"/>
    <w:rsid w:val="084F3304"/>
    <w:rsid w:val="08D8662A"/>
    <w:rsid w:val="0969487C"/>
    <w:rsid w:val="09822228"/>
    <w:rsid w:val="09B5220A"/>
    <w:rsid w:val="09BE3DBB"/>
    <w:rsid w:val="09F17AAB"/>
    <w:rsid w:val="0A8B1D29"/>
    <w:rsid w:val="0B080CE5"/>
    <w:rsid w:val="0B200AE7"/>
    <w:rsid w:val="0B9B0319"/>
    <w:rsid w:val="0BAC05B3"/>
    <w:rsid w:val="0C1621E1"/>
    <w:rsid w:val="0C8D7768"/>
    <w:rsid w:val="0CC41080"/>
    <w:rsid w:val="0CF21394"/>
    <w:rsid w:val="0D471659"/>
    <w:rsid w:val="0E2366FF"/>
    <w:rsid w:val="0E7D1257"/>
    <w:rsid w:val="0F2936A2"/>
    <w:rsid w:val="0F442399"/>
    <w:rsid w:val="0FF82FD4"/>
    <w:rsid w:val="10785D79"/>
    <w:rsid w:val="1085111B"/>
    <w:rsid w:val="110A6F96"/>
    <w:rsid w:val="12915003"/>
    <w:rsid w:val="12B13FB8"/>
    <w:rsid w:val="13255877"/>
    <w:rsid w:val="134A74B8"/>
    <w:rsid w:val="137B5074"/>
    <w:rsid w:val="13D82675"/>
    <w:rsid w:val="1457366A"/>
    <w:rsid w:val="14801AFF"/>
    <w:rsid w:val="15A23C6E"/>
    <w:rsid w:val="160463A5"/>
    <w:rsid w:val="16401776"/>
    <w:rsid w:val="165669B3"/>
    <w:rsid w:val="16B0444D"/>
    <w:rsid w:val="17BEDCA6"/>
    <w:rsid w:val="17D4498E"/>
    <w:rsid w:val="17E13F3C"/>
    <w:rsid w:val="18652F35"/>
    <w:rsid w:val="18800C2E"/>
    <w:rsid w:val="18953FFC"/>
    <w:rsid w:val="18D95870"/>
    <w:rsid w:val="18E0605D"/>
    <w:rsid w:val="19353569"/>
    <w:rsid w:val="19522842"/>
    <w:rsid w:val="1A904254"/>
    <w:rsid w:val="1A9539EA"/>
    <w:rsid w:val="1B3E4C43"/>
    <w:rsid w:val="1B8062A9"/>
    <w:rsid w:val="1B8C0AE8"/>
    <w:rsid w:val="1CA5548E"/>
    <w:rsid w:val="1CCA240F"/>
    <w:rsid w:val="1D2E22C7"/>
    <w:rsid w:val="1D7939F0"/>
    <w:rsid w:val="1D7E18EE"/>
    <w:rsid w:val="1DA1442D"/>
    <w:rsid w:val="1DE6389C"/>
    <w:rsid w:val="1E3E4134"/>
    <w:rsid w:val="1EE351ED"/>
    <w:rsid w:val="1F5F247E"/>
    <w:rsid w:val="1FB50D64"/>
    <w:rsid w:val="1FE55560"/>
    <w:rsid w:val="1FF92002"/>
    <w:rsid w:val="20207CC4"/>
    <w:rsid w:val="202E4F53"/>
    <w:rsid w:val="203A6A0B"/>
    <w:rsid w:val="207170A8"/>
    <w:rsid w:val="208D32FB"/>
    <w:rsid w:val="20A85127"/>
    <w:rsid w:val="214B75DC"/>
    <w:rsid w:val="215D4ED2"/>
    <w:rsid w:val="221D7E73"/>
    <w:rsid w:val="2296772E"/>
    <w:rsid w:val="229E355B"/>
    <w:rsid w:val="231534E2"/>
    <w:rsid w:val="237A41C3"/>
    <w:rsid w:val="24110160"/>
    <w:rsid w:val="24685AB3"/>
    <w:rsid w:val="24CB286B"/>
    <w:rsid w:val="24ED3468"/>
    <w:rsid w:val="25BF3622"/>
    <w:rsid w:val="261F571B"/>
    <w:rsid w:val="2649655F"/>
    <w:rsid w:val="265E2EC8"/>
    <w:rsid w:val="26A050C5"/>
    <w:rsid w:val="273B3040"/>
    <w:rsid w:val="27563219"/>
    <w:rsid w:val="286B3A85"/>
    <w:rsid w:val="28B867CB"/>
    <w:rsid w:val="290B5F82"/>
    <w:rsid w:val="29153E12"/>
    <w:rsid w:val="29891F8A"/>
    <w:rsid w:val="29E10DFD"/>
    <w:rsid w:val="2A2420B3"/>
    <w:rsid w:val="2A2655B6"/>
    <w:rsid w:val="2A5D319E"/>
    <w:rsid w:val="2B231E21"/>
    <w:rsid w:val="2BDC5B80"/>
    <w:rsid w:val="2C0362E3"/>
    <w:rsid w:val="2C865653"/>
    <w:rsid w:val="2C8C4300"/>
    <w:rsid w:val="2C8E3AA4"/>
    <w:rsid w:val="2D8723A8"/>
    <w:rsid w:val="2D8F2548"/>
    <w:rsid w:val="2DC04049"/>
    <w:rsid w:val="2DCF50B7"/>
    <w:rsid w:val="2DF21E00"/>
    <w:rsid w:val="2E221AF7"/>
    <w:rsid w:val="2E7A3039"/>
    <w:rsid w:val="2F6B28DA"/>
    <w:rsid w:val="2FB57F6F"/>
    <w:rsid w:val="2FE936DA"/>
    <w:rsid w:val="303F594F"/>
    <w:rsid w:val="305674E8"/>
    <w:rsid w:val="30646375"/>
    <w:rsid w:val="30B67293"/>
    <w:rsid w:val="30C7A4FE"/>
    <w:rsid w:val="30E111C1"/>
    <w:rsid w:val="30FC77ED"/>
    <w:rsid w:val="31CD714C"/>
    <w:rsid w:val="321D78C4"/>
    <w:rsid w:val="32676A3F"/>
    <w:rsid w:val="32FD11C0"/>
    <w:rsid w:val="33660B60"/>
    <w:rsid w:val="341D4E0B"/>
    <w:rsid w:val="342B2D55"/>
    <w:rsid w:val="34A6390F"/>
    <w:rsid w:val="34CB5BCE"/>
    <w:rsid w:val="36166BE5"/>
    <w:rsid w:val="361913CE"/>
    <w:rsid w:val="36DD498F"/>
    <w:rsid w:val="376D39A2"/>
    <w:rsid w:val="377922CD"/>
    <w:rsid w:val="38126B2D"/>
    <w:rsid w:val="38E522D5"/>
    <w:rsid w:val="397A1E3C"/>
    <w:rsid w:val="39F97368"/>
    <w:rsid w:val="3A5E6B4F"/>
    <w:rsid w:val="3A7A6777"/>
    <w:rsid w:val="3AC01D6E"/>
    <w:rsid w:val="3AC961FF"/>
    <w:rsid w:val="3ADB199C"/>
    <w:rsid w:val="3B9F0AD8"/>
    <w:rsid w:val="3C1E6B30"/>
    <w:rsid w:val="3C7431FD"/>
    <w:rsid w:val="3C824B6E"/>
    <w:rsid w:val="3D0207C5"/>
    <w:rsid w:val="3D1B2149"/>
    <w:rsid w:val="3DDC7D8B"/>
    <w:rsid w:val="3ED34AA0"/>
    <w:rsid w:val="3F8C7544"/>
    <w:rsid w:val="3FCBFA37"/>
    <w:rsid w:val="3FE22096"/>
    <w:rsid w:val="3FFB2C55"/>
    <w:rsid w:val="400C1896"/>
    <w:rsid w:val="416E1B3F"/>
    <w:rsid w:val="41D50C1B"/>
    <w:rsid w:val="42D32DB1"/>
    <w:rsid w:val="42DC060E"/>
    <w:rsid w:val="43736531"/>
    <w:rsid w:val="4477190C"/>
    <w:rsid w:val="44AB6687"/>
    <w:rsid w:val="44C744E6"/>
    <w:rsid w:val="45A8016A"/>
    <w:rsid w:val="45CB23FB"/>
    <w:rsid w:val="45FD4563"/>
    <w:rsid w:val="46E71F62"/>
    <w:rsid w:val="46FF732B"/>
    <w:rsid w:val="47652830"/>
    <w:rsid w:val="47764C3C"/>
    <w:rsid w:val="477966EF"/>
    <w:rsid w:val="480A0516"/>
    <w:rsid w:val="48655414"/>
    <w:rsid w:val="48995031"/>
    <w:rsid w:val="49046116"/>
    <w:rsid w:val="49174AAF"/>
    <w:rsid w:val="493262A3"/>
    <w:rsid w:val="4953205B"/>
    <w:rsid w:val="49623C0B"/>
    <w:rsid w:val="496557F9"/>
    <w:rsid w:val="498C32A4"/>
    <w:rsid w:val="49F609D3"/>
    <w:rsid w:val="49F667FD"/>
    <w:rsid w:val="4A441C19"/>
    <w:rsid w:val="4A8D3AAB"/>
    <w:rsid w:val="4B3B678A"/>
    <w:rsid w:val="4B621DBB"/>
    <w:rsid w:val="4BAE2F3C"/>
    <w:rsid w:val="4C3714F6"/>
    <w:rsid w:val="4CCD54A4"/>
    <w:rsid w:val="4D2E7DAD"/>
    <w:rsid w:val="4D381C68"/>
    <w:rsid w:val="4DB20494"/>
    <w:rsid w:val="4DF747ED"/>
    <w:rsid w:val="4E3F2271"/>
    <w:rsid w:val="4E934D2F"/>
    <w:rsid w:val="4F136CC9"/>
    <w:rsid w:val="4F1A3A21"/>
    <w:rsid w:val="4F203DE0"/>
    <w:rsid w:val="4F6B524D"/>
    <w:rsid w:val="4F772211"/>
    <w:rsid w:val="4F7F09C3"/>
    <w:rsid w:val="4F8168BB"/>
    <w:rsid w:val="4F9A091F"/>
    <w:rsid w:val="50031E55"/>
    <w:rsid w:val="50640BF4"/>
    <w:rsid w:val="507C7E36"/>
    <w:rsid w:val="507F7220"/>
    <w:rsid w:val="50B2626B"/>
    <w:rsid w:val="50FF3ADB"/>
    <w:rsid w:val="51237D2E"/>
    <w:rsid w:val="5256365E"/>
    <w:rsid w:val="52DD4E28"/>
    <w:rsid w:val="52DF5A85"/>
    <w:rsid w:val="531A1844"/>
    <w:rsid w:val="538F45A4"/>
    <w:rsid w:val="54187086"/>
    <w:rsid w:val="541C548D"/>
    <w:rsid w:val="54A234BD"/>
    <w:rsid w:val="54B771D7"/>
    <w:rsid w:val="54DC7E3A"/>
    <w:rsid w:val="55026E2B"/>
    <w:rsid w:val="55256222"/>
    <w:rsid w:val="557A3D4D"/>
    <w:rsid w:val="557D1BD1"/>
    <w:rsid w:val="56A06E89"/>
    <w:rsid w:val="5726047F"/>
    <w:rsid w:val="575A1781"/>
    <w:rsid w:val="57640998"/>
    <w:rsid w:val="57D26822"/>
    <w:rsid w:val="57DB4F33"/>
    <w:rsid w:val="58A6046B"/>
    <w:rsid w:val="58A8591F"/>
    <w:rsid w:val="596A0A97"/>
    <w:rsid w:val="59A866DB"/>
    <w:rsid w:val="59CB3203"/>
    <w:rsid w:val="59E96E0C"/>
    <w:rsid w:val="59F32ED1"/>
    <w:rsid w:val="5B171E82"/>
    <w:rsid w:val="5CB448A7"/>
    <w:rsid w:val="5CBD84E9"/>
    <w:rsid w:val="5CBE7C34"/>
    <w:rsid w:val="5D60523F"/>
    <w:rsid w:val="5D9370D0"/>
    <w:rsid w:val="5DB34D00"/>
    <w:rsid w:val="5DC120ED"/>
    <w:rsid w:val="5DC21A60"/>
    <w:rsid w:val="5DEF04AC"/>
    <w:rsid w:val="5E4567B6"/>
    <w:rsid w:val="5E6C2CBD"/>
    <w:rsid w:val="5E7400D5"/>
    <w:rsid w:val="5E8B2EBA"/>
    <w:rsid w:val="5ED81C72"/>
    <w:rsid w:val="5FD80072"/>
    <w:rsid w:val="5FF63F7F"/>
    <w:rsid w:val="5FFB7EB3"/>
    <w:rsid w:val="600D3BA4"/>
    <w:rsid w:val="60144B57"/>
    <w:rsid w:val="604A5C07"/>
    <w:rsid w:val="605D4C28"/>
    <w:rsid w:val="610C4716"/>
    <w:rsid w:val="61215AB2"/>
    <w:rsid w:val="6235290C"/>
    <w:rsid w:val="62730502"/>
    <w:rsid w:val="6304149A"/>
    <w:rsid w:val="63A627F1"/>
    <w:rsid w:val="63B70FD0"/>
    <w:rsid w:val="63EA79C6"/>
    <w:rsid w:val="64091E2A"/>
    <w:rsid w:val="64336F7D"/>
    <w:rsid w:val="64407D86"/>
    <w:rsid w:val="65610379"/>
    <w:rsid w:val="65EE0CA2"/>
    <w:rsid w:val="673C4FE8"/>
    <w:rsid w:val="68D83E2A"/>
    <w:rsid w:val="69580D63"/>
    <w:rsid w:val="69A74365"/>
    <w:rsid w:val="69A97868"/>
    <w:rsid w:val="6A34524E"/>
    <w:rsid w:val="6A492D5F"/>
    <w:rsid w:val="6A656640"/>
    <w:rsid w:val="6A6652AB"/>
    <w:rsid w:val="6AD01849"/>
    <w:rsid w:val="6B712159"/>
    <w:rsid w:val="6D1411D5"/>
    <w:rsid w:val="6D9510D7"/>
    <w:rsid w:val="6DB6160C"/>
    <w:rsid w:val="6DC046D4"/>
    <w:rsid w:val="6DC61432"/>
    <w:rsid w:val="6DF20214"/>
    <w:rsid w:val="6E9BBE23"/>
    <w:rsid w:val="6ED22CDD"/>
    <w:rsid w:val="6FA5320C"/>
    <w:rsid w:val="6FFFB09D"/>
    <w:rsid w:val="70C355DB"/>
    <w:rsid w:val="70CF2B23"/>
    <w:rsid w:val="711D2DE6"/>
    <w:rsid w:val="71842782"/>
    <w:rsid w:val="71C20947"/>
    <w:rsid w:val="728B1D53"/>
    <w:rsid w:val="730E4732"/>
    <w:rsid w:val="731C34AF"/>
    <w:rsid w:val="73CA178C"/>
    <w:rsid w:val="73D413BA"/>
    <w:rsid w:val="73ED27F8"/>
    <w:rsid w:val="74376338"/>
    <w:rsid w:val="753A5920"/>
    <w:rsid w:val="756C0933"/>
    <w:rsid w:val="75963CF6"/>
    <w:rsid w:val="75F63FB5"/>
    <w:rsid w:val="7629236B"/>
    <w:rsid w:val="76432AF0"/>
    <w:rsid w:val="76EF4406"/>
    <w:rsid w:val="771863F0"/>
    <w:rsid w:val="77276A0B"/>
    <w:rsid w:val="77F34E5A"/>
    <w:rsid w:val="77FFB387"/>
    <w:rsid w:val="788123B0"/>
    <w:rsid w:val="79273AA1"/>
    <w:rsid w:val="79B7FDDA"/>
    <w:rsid w:val="79C452C8"/>
    <w:rsid w:val="79D939F5"/>
    <w:rsid w:val="7A270EFB"/>
    <w:rsid w:val="7B15378F"/>
    <w:rsid w:val="7B4D3874"/>
    <w:rsid w:val="7B642E38"/>
    <w:rsid w:val="7B7FC467"/>
    <w:rsid w:val="7BAF5B7A"/>
    <w:rsid w:val="7BC6204D"/>
    <w:rsid w:val="7C0A1780"/>
    <w:rsid w:val="7CAA3595"/>
    <w:rsid w:val="7CAC52FF"/>
    <w:rsid w:val="7CDF1670"/>
    <w:rsid w:val="7D4E3A96"/>
    <w:rsid w:val="7D55752F"/>
    <w:rsid w:val="7D7FD184"/>
    <w:rsid w:val="7D9947E3"/>
    <w:rsid w:val="7DA610C2"/>
    <w:rsid w:val="7DAF6CC1"/>
    <w:rsid w:val="7DC93C6B"/>
    <w:rsid w:val="7DDD618F"/>
    <w:rsid w:val="7DDE57B5"/>
    <w:rsid w:val="7DF95620"/>
    <w:rsid w:val="7E666DC3"/>
    <w:rsid w:val="7E736A89"/>
    <w:rsid w:val="7EAB253B"/>
    <w:rsid w:val="7EBB93EE"/>
    <w:rsid w:val="7EEB8107"/>
    <w:rsid w:val="7F1FCDDB"/>
    <w:rsid w:val="7FCF26C1"/>
    <w:rsid w:val="7FDB58A0"/>
    <w:rsid w:val="7FE835A3"/>
    <w:rsid w:val="7FEBA6D9"/>
    <w:rsid w:val="957EA9E7"/>
    <w:rsid w:val="9BDF9AF6"/>
    <w:rsid w:val="A7F67683"/>
    <w:rsid w:val="BDDB73C1"/>
    <w:rsid w:val="BEAF21D2"/>
    <w:rsid w:val="BEEE74EE"/>
    <w:rsid w:val="BFFFBEAA"/>
    <w:rsid w:val="CFDD595F"/>
    <w:rsid w:val="CFF5F11D"/>
    <w:rsid w:val="D6F7ACE8"/>
    <w:rsid w:val="D7B74304"/>
    <w:rsid w:val="DE975A17"/>
    <w:rsid w:val="DFF63E28"/>
    <w:rsid w:val="E75DB369"/>
    <w:rsid w:val="E93FCB04"/>
    <w:rsid w:val="EDF9FB33"/>
    <w:rsid w:val="EFF7334B"/>
    <w:rsid w:val="F3FFADF2"/>
    <w:rsid w:val="F6FB3AB7"/>
    <w:rsid w:val="F9DB2824"/>
    <w:rsid w:val="FA58447F"/>
    <w:rsid w:val="FBA71F2D"/>
    <w:rsid w:val="FBE7777E"/>
    <w:rsid w:val="FC762C36"/>
    <w:rsid w:val="FDBF38C8"/>
    <w:rsid w:val="FDFFF28F"/>
    <w:rsid w:val="FFFC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1"/>
    <w:unhideWhenUsed/>
    <w:qFormat/>
    <w:uiPriority w:val="99"/>
    <w:pPr>
      <w:tabs>
        <w:tab w:val="center" w:pos="4153"/>
        <w:tab w:val="right" w:pos="8306"/>
      </w:tabs>
      <w:snapToGrid w:val="0"/>
      <w:jc w:val="left"/>
    </w:pPr>
    <w:rPr>
      <w:sz w:val="18"/>
      <w:szCs w:val="18"/>
    </w:rPr>
  </w:style>
  <w:style w:type="paragraph" w:styleId="3">
    <w:name w:val="Body Text"/>
    <w:basedOn w:val="1"/>
    <w:next w:val="4"/>
    <w:qFormat/>
    <w:uiPriority w:val="0"/>
    <w:rPr>
      <w:rFonts w:ascii="宋体" w:hAnsi="宋体"/>
      <w:sz w:val="32"/>
      <w:lang w:val="zh-CN"/>
    </w:rPr>
  </w:style>
  <w:style w:type="paragraph" w:styleId="4">
    <w:name w:val="Title"/>
    <w:basedOn w:val="1"/>
    <w:next w:val="1"/>
    <w:qFormat/>
    <w:uiPriority w:val="0"/>
    <w:pPr>
      <w:widowControl/>
    </w:pPr>
    <w:rPr>
      <w:rFonts w:cs="Arial"/>
      <w:bCs/>
      <w:color w:val="000000"/>
      <w:kern w:val="0"/>
      <w:szCs w:val="32"/>
    </w:rPr>
  </w:style>
  <w:style w:type="paragraph" w:styleId="5">
    <w:name w:val="annotation text"/>
    <w:basedOn w:val="1"/>
    <w:qFormat/>
    <w:uiPriority w:val="0"/>
    <w:pPr>
      <w:jc w:val="left"/>
    </w:pPr>
  </w:style>
  <w:style w:type="paragraph" w:styleId="6">
    <w:name w:val="Balloon Text"/>
    <w:basedOn w:val="1"/>
    <w:link w:val="15"/>
    <w:qFormat/>
    <w:uiPriority w:val="0"/>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paragraph" w:customStyle="1" w:styleId="13">
    <w:name w:val="样式 小四"/>
    <w:qFormat/>
    <w:uiPriority w:val="0"/>
    <w:pPr>
      <w:widowControl w:val="0"/>
    </w:pPr>
    <w:rPr>
      <w:rFonts w:ascii="宋体" w:hAnsi="Times New Roman" w:eastAsia="宋体" w:cs="Times New Roman"/>
      <w:kern w:val="2"/>
      <w:sz w:val="24"/>
      <w:szCs w:val="22"/>
      <w:lang w:val="en-US" w:eastAsia="zh-CN" w:bidi="ar-SA"/>
    </w:rPr>
  </w:style>
  <w:style w:type="paragraph" w:customStyle="1" w:styleId="14">
    <w:name w:val="Normal Indent1"/>
    <w:basedOn w:val="1"/>
    <w:qFormat/>
    <w:uiPriority w:val="0"/>
    <w:pPr>
      <w:ind w:firstLine="420" w:firstLineChars="200"/>
    </w:pPr>
    <w:rPr>
      <w:sz w:val="32"/>
    </w:rPr>
  </w:style>
  <w:style w:type="character" w:customStyle="1" w:styleId="15">
    <w:name w:val="批注框文本 字符"/>
    <w:basedOn w:val="11"/>
    <w:link w:val="6"/>
    <w:qFormat/>
    <w:uiPriority w:val="0"/>
    <w:rPr>
      <w:rFonts w:ascii="Calibri" w:hAnsi="Calibri" w:eastAsia="宋体"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font21"/>
    <w:basedOn w:val="11"/>
    <w:qFormat/>
    <w:uiPriority w:val="0"/>
    <w:rPr>
      <w:rFonts w:hint="eastAsia" w:ascii="仿宋_GB2312" w:eastAsia="仿宋_GB2312" w:cs="仿宋_GB2312"/>
      <w:color w:val="000000"/>
      <w:sz w:val="24"/>
      <w:szCs w:val="24"/>
      <w:u w:val="none"/>
    </w:rPr>
  </w:style>
  <w:style w:type="character" w:customStyle="1" w:styleId="18">
    <w:name w:val="font31"/>
    <w:basedOn w:val="11"/>
    <w:qFormat/>
    <w:uiPriority w:val="0"/>
    <w:rPr>
      <w:rFonts w:hint="eastAsia" w:ascii="仿宋_GB2312" w:eastAsia="仿宋_GB2312" w:cs="仿宋_GB2312"/>
      <w:color w:val="000000"/>
      <w:sz w:val="24"/>
      <w:szCs w:val="24"/>
      <w:u w:val="none"/>
    </w:rPr>
  </w:style>
  <w:style w:type="character" w:customStyle="1" w:styleId="19">
    <w:name w:val="font41"/>
    <w:basedOn w:val="11"/>
    <w:qFormat/>
    <w:uiPriority w:val="0"/>
    <w:rPr>
      <w:rFonts w:hint="eastAsia" w:ascii="仿宋_GB2312" w:eastAsia="仿宋_GB2312" w:cs="仿宋_GB2312"/>
      <w:color w:val="000000"/>
      <w:sz w:val="24"/>
      <w:szCs w:val="24"/>
      <w:u w:val="none"/>
    </w:rPr>
  </w:style>
  <w:style w:type="character" w:customStyle="1" w:styleId="20">
    <w:name w:val="font51"/>
    <w:basedOn w:val="11"/>
    <w:qFormat/>
    <w:uiPriority w:val="0"/>
    <w:rPr>
      <w:rFonts w:ascii="Arial" w:hAnsi="Arial" w:cs="Arial"/>
      <w:color w:val="000000"/>
      <w:sz w:val="24"/>
      <w:szCs w:val="24"/>
      <w:u w:val="none"/>
    </w:rPr>
  </w:style>
  <w:style w:type="character" w:customStyle="1" w:styleId="21">
    <w:name w:val="页脚 字符"/>
    <w:basedOn w:val="11"/>
    <w:link w:val="2"/>
    <w:qFormat/>
    <w:uiPriority w:val="0"/>
    <w:rPr>
      <w:rFonts w:hint="default"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7641</Words>
  <Characters>7798</Characters>
  <Lines>57</Lines>
  <Paragraphs>16</Paragraphs>
  <TotalTime>50</TotalTime>
  <ScaleCrop>false</ScaleCrop>
  <LinksUpToDate>false</LinksUpToDate>
  <CharactersWithSpaces>7820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2024-05-21T01:08:00Z</dcterms:created>
  <dc:creator>王胜军</dc:creator>
  <cp:lastModifiedBy>舒丽娜</cp:lastModifiedBy>
  <cp:lastPrinted>2026-03-31T04:25:00Z</cp:lastPrinted>
  <dcterms:modified xsi:type="dcterms:W3CDTF">2026-04-13T12:21:57Z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B1E994283BEE467BA031225EF4CCAF95</vt:lpwstr>
  </property>
  <property fmtid="{D5CDD505-2E9C-101B-9397-08002B2CF9AE}" pid="4" name="KSOTemplateDocerSaveRecord">
    <vt:lpwstr>eyJoZGlkIjoiMmZhNzM4NmNiZWMxOWUzNGU4ZmM4M2M2MWY4NjM1NTciLCJ1c2VySWQiOiI3Mjg3MTI3NzMifQ==</vt:lpwstr>
  </property>
</Properties>
</file>